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77D" w:rsidRPr="00676255" w:rsidRDefault="0034777D" w:rsidP="0034777D">
      <w:pPr>
        <w:pStyle w:val="Caption"/>
      </w:pPr>
      <w:bookmarkStart w:id="0" w:name="_Toc499639485"/>
      <w:r>
        <w:t>Table:</w:t>
      </w:r>
      <w:r>
        <w:t xml:space="preserve"> </w:t>
      </w:r>
      <w:r w:rsidRPr="00BB36C1">
        <w:t>Empiric antibiotics prescribed for the first sepsis event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90"/>
        <w:gridCol w:w="2095"/>
        <w:gridCol w:w="1955"/>
      </w:tblGrid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b/>
              </w:rPr>
            </w:pPr>
            <w:r w:rsidRPr="00676255">
              <w:rPr>
                <w:b/>
              </w:rPr>
              <w:t>Empiric antibiotic</w:t>
            </w:r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b/>
              </w:rPr>
            </w:pPr>
            <w:r w:rsidRPr="00676255">
              <w:rPr>
                <w:b/>
              </w:rPr>
              <w:t>Control group</w:t>
            </w:r>
            <w:r>
              <w:rPr>
                <w:b/>
              </w:rPr>
              <w:t>, n (%)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b/>
              </w:rPr>
            </w:pPr>
            <w:r w:rsidRPr="00676255">
              <w:rPr>
                <w:b/>
              </w:rPr>
              <w:t>Intervention group</w:t>
            </w:r>
            <w:r>
              <w:rPr>
                <w:b/>
              </w:rPr>
              <w:t>, n (%)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b/>
              </w:rPr>
            </w:pPr>
            <w:r w:rsidRPr="00676255">
              <w:rPr>
                <w:b/>
              </w:rPr>
              <w:t>Row totals</w:t>
            </w:r>
            <w:r>
              <w:rPr>
                <w:b/>
              </w:rPr>
              <w:t>. n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proofErr w:type="spellStart"/>
            <w:r w:rsidRPr="00676255">
              <w:t>Carbapenem</w:t>
            </w:r>
            <w:proofErr w:type="spellEnd"/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9</w:t>
            </w:r>
            <w:r>
              <w:t xml:space="preserve"> (22.5%)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</w:t>
            </w:r>
            <w:r>
              <w:t xml:space="preserve"> (2.5%)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10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Piperacillin-</w:t>
            </w:r>
            <w:proofErr w:type="spellStart"/>
            <w:r w:rsidRPr="00676255">
              <w:t>tazobactam</w:t>
            </w:r>
            <w:proofErr w:type="spellEnd"/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16</w:t>
            </w:r>
            <w:r>
              <w:t xml:space="preserve"> (40%)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36</w:t>
            </w:r>
            <w:r>
              <w:t xml:space="preserve"> (90%)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52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Co-</w:t>
            </w:r>
            <w:proofErr w:type="spellStart"/>
            <w:r w:rsidRPr="00676255">
              <w:t>amoxiclav</w:t>
            </w:r>
            <w:proofErr w:type="spellEnd"/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12</w:t>
            </w:r>
            <w:r>
              <w:t xml:space="preserve"> (30%)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2</w:t>
            </w:r>
            <w:r>
              <w:t xml:space="preserve"> (5%)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14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Third generation cephalosporin</w:t>
            </w:r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</w:t>
            </w:r>
            <w:r>
              <w:t xml:space="preserve"> (2.5%)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0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Vancomycin</w:t>
            </w:r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0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</w:t>
            </w:r>
            <w:r>
              <w:t xml:space="preserve"> (2.5%)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1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Other</w:t>
            </w:r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2</w:t>
            </w:r>
            <w:r>
              <w:t xml:space="preserve"> (5%)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0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</w:pPr>
            <w:r w:rsidRPr="00676255">
              <w:t>2</w:t>
            </w:r>
          </w:p>
        </w:tc>
      </w:tr>
      <w:tr w:rsidR="0034777D" w:rsidRPr="00676255" w:rsidTr="00E358DC">
        <w:tc>
          <w:tcPr>
            <w:tcW w:w="2122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color w:val="000000" w:themeColor="text1"/>
              </w:rPr>
            </w:pPr>
            <w:r w:rsidRPr="00676255">
              <w:rPr>
                <w:color w:val="000000" w:themeColor="text1"/>
              </w:rPr>
              <w:t>Total</w:t>
            </w:r>
          </w:p>
        </w:tc>
        <w:tc>
          <w:tcPr>
            <w:tcW w:w="1990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color w:val="000000" w:themeColor="text1"/>
              </w:rPr>
            </w:pPr>
            <w:r w:rsidRPr="00676255">
              <w:rPr>
                <w:color w:val="000000" w:themeColor="text1"/>
              </w:rPr>
              <w:t>40</w:t>
            </w:r>
            <w:r>
              <w:rPr>
                <w:color w:val="000000" w:themeColor="text1"/>
              </w:rPr>
              <w:t xml:space="preserve"> (100%)</w:t>
            </w:r>
          </w:p>
        </w:tc>
        <w:tc>
          <w:tcPr>
            <w:tcW w:w="209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color w:val="000000" w:themeColor="text1"/>
              </w:rPr>
            </w:pPr>
            <w:r w:rsidRPr="00676255">
              <w:rPr>
                <w:color w:val="000000" w:themeColor="text1"/>
              </w:rPr>
              <w:t>40</w:t>
            </w:r>
            <w:r>
              <w:rPr>
                <w:color w:val="000000" w:themeColor="text1"/>
              </w:rPr>
              <w:t xml:space="preserve"> (100%)</w:t>
            </w:r>
          </w:p>
        </w:tc>
        <w:tc>
          <w:tcPr>
            <w:tcW w:w="1955" w:type="dxa"/>
          </w:tcPr>
          <w:p w:rsidR="0034777D" w:rsidRPr="00676255" w:rsidRDefault="0034777D" w:rsidP="00E358DC">
            <w:pPr>
              <w:pStyle w:val="ListParagraph"/>
              <w:spacing w:after="0" w:line="480" w:lineRule="auto"/>
              <w:ind w:left="0"/>
              <w:rPr>
                <w:color w:val="000000" w:themeColor="text1"/>
              </w:rPr>
            </w:pPr>
            <w:r w:rsidRPr="00676255">
              <w:rPr>
                <w:color w:val="000000" w:themeColor="text1"/>
              </w:rPr>
              <w:t>80</w:t>
            </w:r>
          </w:p>
        </w:tc>
      </w:tr>
    </w:tbl>
    <w:p w:rsidR="002D1CAC" w:rsidRDefault="002D1CAC"/>
    <w:p w:rsidR="0034777D" w:rsidRDefault="0034777D" w:rsidP="0034777D">
      <w:pPr>
        <w:pStyle w:val="Caption"/>
      </w:pPr>
      <w:bookmarkStart w:id="1" w:name="_Toc531150065"/>
      <w:r w:rsidRPr="00676255">
        <w:t>Figure</w:t>
      </w:r>
      <w:bookmarkStart w:id="2" w:name="_GoBack"/>
      <w:bookmarkEnd w:id="2"/>
      <w:r w:rsidRPr="00676255">
        <w:t>: Appropriateness of empiric antibiotics for the first sepsis event</w:t>
      </w:r>
      <w:bookmarkEnd w:id="1"/>
    </w:p>
    <w:p w:rsidR="0034777D" w:rsidRDefault="0034777D">
      <w:r w:rsidRPr="001A7325">
        <w:rPr>
          <w:noProof/>
          <w:lang w:val="en-ZA" w:eastAsia="en-ZA"/>
        </w:rPr>
        <w:drawing>
          <wp:inline distT="0" distB="0" distL="0" distR="0" wp14:anchorId="65256B15" wp14:editId="6789E390">
            <wp:extent cx="5057775" cy="2884940"/>
            <wp:effectExtent l="19050" t="0" r="9525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88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477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77D"/>
    <w:rsid w:val="002D1CAC"/>
    <w:rsid w:val="0034777D"/>
    <w:rsid w:val="0069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2C1D0B"/>
  <w15:chartTrackingRefBased/>
  <w15:docId w15:val="{AE1DF45E-B2F6-461B-BA11-46F70DD44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77D"/>
    <w:pPr>
      <w:spacing w:after="200" w:line="276" w:lineRule="auto"/>
    </w:pPr>
    <w:rPr>
      <w:rFonts w:ascii="Times New Roman" w:eastAsia="Calibri" w:hAnsi="Times New Roman" w:cs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77D"/>
    <w:pPr>
      <w:ind w:left="720"/>
      <w:contextualSpacing/>
    </w:pPr>
  </w:style>
  <w:style w:type="table" w:styleId="TableGrid">
    <w:name w:val="Table Grid"/>
    <w:basedOn w:val="TableNormal"/>
    <w:uiPriority w:val="59"/>
    <w:rsid w:val="0034777D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4777D"/>
    <w:pPr>
      <w:spacing w:before="120" w:line="240" w:lineRule="auto"/>
    </w:pPr>
    <w:rPr>
      <w:b/>
      <w:bCs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Rispah Chomba</dc:creator>
  <cp:keywords/>
  <dc:description/>
  <cp:lastModifiedBy>Rispah Chomba</cp:lastModifiedBy>
  <cp:revision>3</cp:revision>
  <dcterms:created xsi:type="dcterms:W3CDTF">2019-07-29T09:45:00Z</dcterms:created>
  <dcterms:modified xsi:type="dcterms:W3CDTF">2019-07-29T09:53:00Z</dcterms:modified>
</cp:coreProperties>
</file>